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ANEXO I</w:t>
      </w:r>
      <w:r>
        <w:rPr>
          <w:b/>
          <w:bCs/>
          <w:color w:val="000000"/>
          <w:shd w:fill="auto" w:val="clear"/>
        </w:rPr>
        <w:t>V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center"/>
        <w:rPr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PONTOS PARA A PROVA </w:t>
      </w:r>
      <w:r>
        <w:rPr>
          <w:b/>
          <w:bCs/>
          <w:color w:val="000000"/>
          <w:shd w:fill="auto" w:val="clear"/>
        </w:rPr>
        <w:t>ESCRITA</w:t>
      </w:r>
    </w:p>
    <w:p>
      <w:pPr>
        <w:pStyle w:val="LO-normal"/>
        <w:jc w:val="center"/>
        <w:rPr>
          <w:color w:val="auto"/>
          <w:highlight w:val="none"/>
          <w:shd w:fill="auto" w:val="clear"/>
        </w:rPr>
      </w:pPr>
      <w:r>
        <w:rPr>
          <w:b/>
          <w:bCs/>
        </w:rPr>
      </w:r>
    </w:p>
    <w:p>
      <w:pPr>
        <w:pStyle w:val="LO-normal"/>
        <w:jc w:val="center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b/>
          <w:bCs/>
          <w:strike w:val="false"/>
          <w:dstrike w:val="false"/>
          <w:color w:val="000000"/>
          <w:shd w:fill="auto" w:val="clear"/>
        </w:rPr>
        <w:t>L</w:t>
      </w:r>
      <w:r>
        <w:rPr>
          <w:b/>
          <w:bCs/>
          <w:strike w:val="false"/>
          <w:dstrike w:val="false"/>
          <w:color w:val="000000"/>
          <w:shd w:fill="auto" w:val="clear"/>
        </w:rPr>
        <w:t xml:space="preserve">inha 1 – </w:t>
      </w:r>
      <w:r>
        <w:rPr>
          <w:b/>
          <w:bCs/>
          <w:color w:val="000000"/>
          <w:shd w:fill="auto" w:val="clear"/>
        </w:rPr>
        <w:t>História Ambiental, das Migrações e das Ciências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 – A História Global e sua articulação com a História Ambiental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</w:t>
      </w:r>
      <w:r>
        <w:rPr>
          <w:color w:val="000000"/>
          <w:shd w:fill="auto" w:val="clear"/>
        </w:rPr>
        <w:t>I</w:t>
      </w:r>
      <w:r>
        <w:rPr>
          <w:color w:val="000000"/>
          <w:shd w:fill="auto" w:val="clear"/>
        </w:rPr>
        <w:t xml:space="preserve"> – História Ambiental: debate historiográfico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III – </w:t>
      </w:r>
      <w:r>
        <w:rPr>
          <w:color w:val="000000"/>
          <w:shd w:fill="auto" w:val="clear"/>
        </w:rPr>
        <w:t xml:space="preserve">Os descendentes de imigrantes italianos e a migração pelo </w:t>
      </w:r>
      <w:r>
        <w:rPr>
          <w:color w:val="000000"/>
          <w:shd w:fill="auto" w:val="clear"/>
        </w:rPr>
        <w:t>s</w:t>
      </w:r>
      <w:r>
        <w:rPr>
          <w:color w:val="000000"/>
          <w:shd w:fill="auto" w:val="clear"/>
        </w:rPr>
        <w:t>ul do Brasil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Linha 2 – </w:t>
      </w:r>
      <w:r>
        <w:rPr>
          <w:b/>
          <w:bCs/>
          <w:color w:val="000000"/>
          <w:shd w:fill="auto" w:val="clear"/>
        </w:rPr>
        <w:t>Fronteiras, Movimentos Sociais e Poder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</w:t>
      </w:r>
      <w:r>
        <w:rPr>
          <w:color w:val="000000"/>
          <w:shd w:fill="auto" w:val="clear"/>
        </w:rPr>
        <w:t xml:space="preserve"> – O conceito de Fronteira: </w:t>
      </w:r>
      <w:r>
        <w:rPr>
          <w:color w:val="000000"/>
          <w:shd w:fill="auto" w:val="clear"/>
        </w:rPr>
        <w:t>debate historiográfico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II</w:t>
      </w:r>
      <w:r>
        <w:rPr>
          <w:color w:val="000000"/>
          <w:shd w:fill="auto" w:val="clear"/>
        </w:rPr>
        <w:t xml:space="preserve"> – Teoria dos Movimentos Sociais: </w:t>
      </w:r>
      <w:r>
        <w:rPr>
          <w:color w:val="000000"/>
          <w:shd w:fill="auto" w:val="clear"/>
        </w:rPr>
        <w:t xml:space="preserve">as </w:t>
      </w:r>
      <w:r>
        <w:rPr>
          <w:color w:val="000000"/>
          <w:shd w:fill="auto" w:val="clear"/>
        </w:rPr>
        <w:t xml:space="preserve">contribuições de </w:t>
      </w:r>
      <w:r>
        <w:rPr>
          <w:color w:val="000000"/>
          <w:shd w:fill="auto" w:val="clear"/>
        </w:rPr>
        <w:t>Sidney Tarrow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III</w:t>
      </w:r>
      <w:r>
        <w:rPr>
          <w:color w:val="000000"/>
          <w:shd w:fill="auto" w:val="clear"/>
        </w:rPr>
        <w:t xml:space="preserve"> – </w:t>
      </w:r>
      <w:r>
        <w:rPr>
          <w:color w:val="000000"/>
          <w:shd w:fill="auto" w:val="clear"/>
        </w:rPr>
        <w:t xml:space="preserve">População cabocla e a </w:t>
      </w:r>
      <w:r>
        <w:rPr>
          <w:color w:val="000000"/>
          <w:shd w:fill="auto" w:val="clear"/>
        </w:rPr>
        <w:t>Guerra do Contestado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Linha 3 – </w:t>
      </w:r>
      <w:r>
        <w:rPr>
          <w:b/>
          <w:bCs/>
          <w:color w:val="000000"/>
          <w:shd w:fill="auto" w:val="clear"/>
        </w:rPr>
        <w:t>Culturas, Resistências e Decolonialidades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</w:t>
      </w:r>
      <w:r>
        <w:rPr>
          <w:color w:val="000000"/>
          <w:shd w:fill="auto" w:val="clear"/>
        </w:rPr>
        <w:t xml:space="preserve"> – O pensamento decolonial: debate historiográfico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II – </w:t>
      </w:r>
      <w:r>
        <w:rPr>
          <w:color w:val="000000"/>
          <w:shd w:fill="auto" w:val="clear"/>
        </w:rPr>
        <w:t xml:space="preserve">Movimentos Sociais no </w:t>
      </w:r>
      <w:r>
        <w:rPr>
          <w:color w:val="000000"/>
          <w:shd w:fill="auto" w:val="clear"/>
        </w:rPr>
        <w:t>s</w:t>
      </w:r>
      <w:r>
        <w:rPr>
          <w:color w:val="000000"/>
          <w:shd w:fill="auto" w:val="clear"/>
        </w:rPr>
        <w:t xml:space="preserve">ul do Brasil: </w:t>
      </w:r>
      <w:r>
        <w:rPr>
          <w:color w:val="000000"/>
          <w:shd w:fill="auto" w:val="clear"/>
        </w:rPr>
        <w:t>formas de resistência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  <w:t>I</w:t>
      </w:r>
      <w:r>
        <w:rPr>
          <w:color w:val="000000"/>
          <w:shd w:fill="auto" w:val="clear"/>
        </w:rPr>
        <w:t>II</w:t>
      </w:r>
      <w:r>
        <w:rPr>
          <w:color w:val="000000"/>
          <w:shd w:fill="auto" w:val="clear"/>
        </w:rPr>
        <w:t xml:space="preserve"> – </w:t>
      </w:r>
      <w:r>
        <w:rPr>
          <w:color w:val="000000"/>
          <w:shd w:fill="auto" w:val="clear"/>
        </w:rPr>
        <w:t>Cultura dos p</w:t>
      </w:r>
      <w:r>
        <w:rPr>
          <w:color w:val="000000"/>
          <w:shd w:fill="auto" w:val="clear"/>
        </w:rPr>
        <w:t xml:space="preserve">ovos originários </w:t>
      </w:r>
      <w:r>
        <w:rPr>
          <w:color w:val="000000"/>
          <w:shd w:fill="auto" w:val="clear"/>
        </w:rPr>
        <w:t xml:space="preserve">no Brasil Meridional: </w:t>
      </w:r>
      <w:r>
        <w:rPr>
          <w:color w:val="000000"/>
          <w:shd w:fill="auto" w:val="clear"/>
        </w:rPr>
        <w:t>fontes arqueológicas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O</w:t>
      </w:r>
      <w:r>
        <w:rPr>
          <w:b/>
          <w:bCs/>
          <w:color w:val="000000"/>
          <w:shd w:fill="auto" w:val="clear"/>
        </w:rPr>
        <w:t xml:space="preserve">bservação: </w:t>
      </w:r>
      <w:r>
        <w:rPr>
          <w:color w:val="000000"/>
          <w:shd w:fill="auto" w:val="clear"/>
        </w:rPr>
        <w:t>Serão sorteados um tema de cada Linha de Pesquisa. O candidato deve produzir texto sobre o tema referente à Linha de Pesquisa sinalizada no formulário de inscrição ao processo seletivo.</w:t>
      </w:r>
    </w:p>
    <w:p>
      <w:pPr>
        <w:pStyle w:val="LO-normal"/>
        <w:jc w:val="both"/>
        <w:rPr>
          <w:color w:val="auto"/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140</Words>
  <Characters>800</Characters>
  <CharactersWithSpaces>937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2025-09-14T21:21:22Z</dcterms:created>
  <dc:creator/>
  <dc:description/>
  <dc:language>pt-BR</dc:language>
  <cp:lastModifiedBy/>
  <dcterms:modified xsi:type="dcterms:W3CDTF">2025-09-14T22:59:42Z</dcterms:modified>
  <cp:revision>2</cp:revision>
  <dc:subject/>
  <dc:title/>
</cp:coreProperties>
</file>